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766A"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before="0" w:beforeAutospacing="1" w:after="0" w:afterAutospacing="1" w:line="600" w:lineRule="exact"/>
        <w:jc w:val="left"/>
        <w:outlineLvl w:val="9"/>
        <w:rPr>
          <w:rFonts w:hint="eastAsia" w:ascii="黑体" w:hAnsi="黑体" w:eastAsia="宋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黑体" w:eastAsia="宋体" w:cs="黑体"/>
          <w:b w:val="0"/>
          <w:bCs/>
          <w:snapToGrid w:val="0"/>
          <w:color w:val="000000"/>
          <w:spacing w:val="13"/>
          <w:kern w:val="0"/>
          <w:sz w:val="32"/>
          <w:szCs w:val="32"/>
          <w:lang w:val="en-US" w:eastAsia="zh-CN" w:bidi="ar"/>
        </w:rPr>
        <w:t>：</w:t>
      </w:r>
    </w:p>
    <w:p w14:paraId="31FCFA22">
      <w:pPr>
        <w:rPr>
          <w:rFonts w:hint="eastAsia" w:ascii="Times New Roman" w:hAnsi="Times New Roman" w:eastAsia="宋体" w:cs="Times New Roman"/>
        </w:rPr>
      </w:pPr>
    </w:p>
    <w:p w14:paraId="38DB89BF">
      <w:pPr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  <w:t>“‘经典新生·演绎传韵’——经典片段情景演绎”</w:t>
      </w:r>
    </w:p>
    <w:p w14:paraId="329B0498">
      <w:pPr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6"/>
          <w:kern w:val="0"/>
          <w:sz w:val="36"/>
          <w:szCs w:val="36"/>
          <w:lang w:eastAsia="en-US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bidi="ar"/>
        </w:rPr>
        <w:t>移动阅读活动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6"/>
          <w:kern w:val="0"/>
          <w:sz w:val="36"/>
          <w:szCs w:val="36"/>
          <w:lang w:eastAsia="en-US"/>
        </w:rPr>
        <w:t>评分标准</w:t>
      </w:r>
      <w:bookmarkEnd w:id="0"/>
    </w:p>
    <w:tbl>
      <w:tblPr>
        <w:tblStyle w:val="2"/>
        <w:tblW w:w="868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799"/>
        <w:gridCol w:w="6557"/>
      </w:tblGrid>
      <w:tr w14:paraId="47F3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93B2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beforeLines="0" w:afterLines="0" w:line="240" w:lineRule="auto"/>
              <w:ind w:left="237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评分维度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992D3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beforeLines="0" w:afterLines="0" w:line="240" w:lineRule="auto"/>
              <w:ind w:left="184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分值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3011A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beforeLines="0" w:afterLines="0" w:line="240" w:lineRule="auto"/>
              <w:ind w:left="2655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具体评分标准</w:t>
            </w:r>
          </w:p>
        </w:tc>
      </w:tr>
      <w:tr w14:paraId="1EC80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67B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FE85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9FB79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134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内容贴合度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722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64EF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1F6AE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28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EE7A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片段选取、贴合指定书目，且具有代表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</w:p>
          <w:p w14:paraId="42A145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beforeLines="0" w:afterLines="0" w:line="240" w:lineRule="auto"/>
              <w:ind w:left="131" w:right="151" w:hanging="4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展示内容准确还原原著主题、人物特点等，有适当创新，且未偏离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原著核心思想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4"/>
                <w:szCs w:val="24"/>
              </w:rPr>
              <w:t>）</w:t>
            </w:r>
          </w:p>
          <w:p w14:paraId="595DA0F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主题鲜明，积极传递图书积极向上的核心思想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</w:p>
        </w:tc>
      </w:tr>
      <w:tr w14:paraId="3260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81B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4767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21AAE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beforeLines="0" w:afterLines="0" w:line="240" w:lineRule="auto"/>
              <w:ind w:left="234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表现形式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355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C630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B6642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28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EEF0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形式新颖，贴合片段内容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</w:p>
          <w:p w14:paraId="290FA0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形式与内容融合自然，不生硬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</w:p>
          <w:p w14:paraId="43DED7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beforeLines="0" w:afterLines="0" w:line="240" w:lineRule="auto"/>
              <w:ind w:left="132" w:right="436" w:hanging="1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服装、道具、背景音乐等搭配合理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。无相关准备不额外扣分</w:t>
            </w:r>
          </w:p>
        </w:tc>
      </w:tr>
      <w:tr w14:paraId="7CB25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85EB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beforeLines="0" w:afterLines="0" w:line="240" w:lineRule="auto"/>
              <w:ind w:left="185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语言表达/</w:t>
            </w:r>
          </w:p>
          <w:p w14:paraId="57D3796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beforeLines="0" w:afterLines="0" w:line="240" w:lineRule="auto"/>
              <w:ind w:left="2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表演技巧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322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5C9259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beforeLines="0" w:afterLines="0" w:line="240" w:lineRule="auto"/>
              <w:ind w:left="28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8C43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beforeLines="0" w:afterLines="0" w:line="240" w:lineRule="auto"/>
              <w:ind w:left="132" w:right="43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表演类：肢体语言自然，人物塑造到位，台词流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畅，情感饱满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44"/>
                <w:kern w:val="0"/>
                <w:sz w:val="24"/>
                <w:szCs w:val="24"/>
              </w:rPr>
              <w:t>）</w:t>
            </w:r>
          </w:p>
        </w:tc>
      </w:tr>
      <w:tr w14:paraId="3C338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E9B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A67E2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2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舞台表现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954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1503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0D5002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28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4B78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台风稳健，自信大方，团队成员配合到位、互动感强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</w:p>
          <w:p w14:paraId="3911D8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严格控制展示时长，无超时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</w:p>
          <w:p w14:paraId="4040AFC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beforeLines="0" w:afterLines="0" w:line="240" w:lineRule="auto"/>
              <w:ind w:left="1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舞台进程井然有序，整体观感良好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4"/>
                <w:szCs w:val="24"/>
              </w:rPr>
              <w:t>）</w:t>
            </w:r>
          </w:p>
        </w:tc>
      </w:tr>
      <w:tr w14:paraId="1A89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C81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002CD1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34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创新性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C7D6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5EA91C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beforeLines="0" w:afterLines="0" w:line="240" w:lineRule="auto"/>
              <w:ind w:left="28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9606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beforeLines="0" w:afterLines="0" w:line="240" w:lineRule="auto"/>
              <w:ind w:left="132" w:right="121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在内容展示、形式呈现、情感表达等方面有独特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创意，能给评委和观众留下深刻印象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酌情打分，诵读类无创新不扣分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。</w:t>
            </w:r>
          </w:p>
        </w:tc>
      </w:tr>
      <w:tr w14:paraId="54143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37CB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beforeLines="0" w:afterLines="0" w:line="240" w:lineRule="auto"/>
              <w:ind w:left="444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总分</w:t>
            </w:r>
          </w:p>
        </w:tc>
        <w:tc>
          <w:tcPr>
            <w:tcW w:w="7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B4E26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beforeLines="0" w:afterLines="0" w:line="240" w:lineRule="auto"/>
              <w:ind w:left="352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100</w:t>
            </w:r>
          </w:p>
        </w:tc>
      </w:tr>
      <w:tr w14:paraId="1273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A7E5DF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beforeLines="0" w:afterLines="0" w:line="240" w:lineRule="auto"/>
              <w:ind w:left="105" w:right="28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评分规则说明：以下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种情况视为违规参赛，扣除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分，情节严重者取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消参赛资格，包括参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赛作品不在指定书目范围内，或存在作品抄袭，或偏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离原著核心思想、情节</w:t>
            </w:r>
          </w:p>
        </w:tc>
      </w:tr>
    </w:tbl>
    <w:p w14:paraId="6A8FB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41127"/>
    <w:rsid w:val="429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2026-04-13T08:25:00Z</dcterms:created>
  <dc:creator>带老外取经</dc:creator>
  <cp:lastModifiedBy>带老外取经</cp:lastModifiedBy>
  <dcterms:modified xsi:type="dcterms:W3CDTF">2026-04-13T08:26:46Z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37F138728AA140039BAED547D3416193_11</vt:lpwstr>
  </property>
  <property fmtid="{D5CDD505-2E9C-101B-9397-08002B2CF9AE}" pid="4" name="KSOTemplateDocerSaveRecord">
    <vt:lpwstr>eyJoZGlkIjoiYzIyM2Q0MTUyMjEzNThlZjg3YjljZDA4NmY2YmE2OTEiLCJ1c2VySWQiOiIxNTI4MDc1MDY4In0=</vt:lpwstr>
  </property>
</Properties>
</file>